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379DE" w14:textId="77777777" w:rsidR="00C04174" w:rsidRPr="00C04174" w:rsidRDefault="00C04174" w:rsidP="00C04174">
      <w:pPr>
        <w:rPr>
          <w:b/>
          <w:bCs/>
        </w:rPr>
      </w:pPr>
      <w:r w:rsidRPr="00C04174">
        <w:rPr>
          <w:b/>
          <w:bCs/>
        </w:rPr>
        <w:t>The Genetic Origins of the Serbian People: An Integrative Population Genomics Perspective</w:t>
      </w:r>
    </w:p>
    <w:p w14:paraId="6916FBCF" w14:textId="77777777" w:rsidR="00C04174" w:rsidRPr="00C04174" w:rsidRDefault="00C04174" w:rsidP="00C04174">
      <w:pPr>
        <w:rPr>
          <w:b/>
          <w:bCs/>
        </w:rPr>
      </w:pPr>
      <w:r w:rsidRPr="00C04174">
        <w:rPr>
          <w:b/>
          <w:bCs/>
        </w:rPr>
        <w:t>Abstract</w:t>
      </w:r>
    </w:p>
    <w:p w14:paraId="31C71CF4" w14:textId="77777777" w:rsidR="00C04174" w:rsidRPr="00C04174" w:rsidRDefault="00C04174" w:rsidP="00C04174">
      <w:r w:rsidRPr="00C04174">
        <w:t>The Serbian people represent a genetically diverse South Slavic population whose origins reflect complex interactions between ancient Balkan inhabitants, Slavic migrations, and subsequent regional admixture. Located at the crossroads of Southeast Europe, the Balkans have experienced continuous human settlement since the Paleolithic era and multiple population turnovers driven by climatic, cultural, and political transformations. Modern population genetics, utilizing autosomal DNA, Y-chromosome markers, mitochondrial DNA (mtDNA), and ancient DNA (</w:t>
      </w:r>
      <w:proofErr w:type="spellStart"/>
      <w:r w:rsidRPr="00C04174">
        <w:t>aDNA</w:t>
      </w:r>
      <w:proofErr w:type="spellEnd"/>
      <w:r w:rsidRPr="00C04174">
        <w:t xml:space="preserve">), reveals that contemporary Serbs derive the majority of their ancestry from a combination of early Slavic groups and pre-Slavic Balkan populations, including Illyrians, Thracians, and Romanized Balkan peoples. This review synthesizes genetic evidence to examine Serbian ethnogenesis, emphasizing population continuity, Slavic expansion, and gene flow from neighboring European and Eurasian populations. The findings support a model of cultural and linguistic </w:t>
      </w:r>
      <w:proofErr w:type="spellStart"/>
      <w:r w:rsidRPr="00C04174">
        <w:t>Slavicization</w:t>
      </w:r>
      <w:proofErr w:type="spellEnd"/>
      <w:r w:rsidRPr="00C04174">
        <w:t xml:space="preserve"> layered onto a substantial indigenous Balkan genetic substrate.</w:t>
      </w:r>
    </w:p>
    <w:p w14:paraId="3EAE7909" w14:textId="77777777" w:rsidR="00C04174" w:rsidRPr="00C04174" w:rsidRDefault="00C04174" w:rsidP="00C04174">
      <w:r w:rsidRPr="00C04174">
        <w:pict w14:anchorId="18208549">
          <v:rect id="_x0000_i1085" style="width:0;height:1.5pt" o:hralign="center" o:hrstd="t" o:hr="t" fillcolor="#a0a0a0" stroked="f"/>
        </w:pict>
      </w:r>
    </w:p>
    <w:p w14:paraId="4666112E" w14:textId="77777777" w:rsidR="00C04174" w:rsidRPr="00C04174" w:rsidRDefault="00C04174" w:rsidP="00C04174">
      <w:pPr>
        <w:rPr>
          <w:b/>
          <w:bCs/>
        </w:rPr>
      </w:pPr>
      <w:r w:rsidRPr="00C04174">
        <w:rPr>
          <w:b/>
          <w:bCs/>
        </w:rPr>
        <w:t>1. Introduction</w:t>
      </w:r>
    </w:p>
    <w:p w14:paraId="54ADF36B" w14:textId="77777777" w:rsidR="00C04174" w:rsidRPr="00C04174" w:rsidRDefault="00C04174" w:rsidP="00C04174">
      <w:r w:rsidRPr="00C04174">
        <w:t>The origin of the Serbian people has been a subject of long-standing interest in history, archaeology, linguistics, and genetics. Serbs belong to the South Slavic branch of Slavic peoples, whose historical emergence in the Balkans is traditionally dated to the 6th–7th centuries CE. However, genetic research increasingly demonstrates that ethnogenesis is rarely the result of complete population replacement. Instead, it often involves admixture between incoming groups and resident populations.</w:t>
      </w:r>
    </w:p>
    <w:p w14:paraId="30602451" w14:textId="77777777" w:rsidR="00C04174" w:rsidRPr="00C04174" w:rsidRDefault="00C04174" w:rsidP="00C04174">
      <w:r w:rsidRPr="00C04174">
        <w:t>The Balkan Peninsula, including present-day Serbia, has functioned as a major migration corridor between Europe and Asia. This strategic location exposed the region to repeated demographic events that shaped the genetic structure of its populations. Modern genomic studies allow for a deeper understanding of how these processes contributed to the formation of the Serbian people.</w:t>
      </w:r>
    </w:p>
    <w:p w14:paraId="735E0619" w14:textId="77777777" w:rsidR="00C04174" w:rsidRPr="00C04174" w:rsidRDefault="00C04174" w:rsidP="00C04174">
      <w:r w:rsidRPr="00C04174">
        <w:pict w14:anchorId="32A61298">
          <v:rect id="_x0000_i1086" style="width:0;height:1.5pt" o:hralign="center" o:hrstd="t" o:hr="t" fillcolor="#a0a0a0" stroked="f"/>
        </w:pict>
      </w:r>
    </w:p>
    <w:p w14:paraId="791CE2A4" w14:textId="77777777" w:rsidR="00C04174" w:rsidRPr="00C04174" w:rsidRDefault="00C04174" w:rsidP="00C04174">
      <w:pPr>
        <w:rPr>
          <w:b/>
          <w:bCs/>
        </w:rPr>
      </w:pPr>
      <w:r w:rsidRPr="00C04174">
        <w:rPr>
          <w:b/>
          <w:bCs/>
        </w:rPr>
        <w:t>2. Geographic and Historical Background</w:t>
      </w:r>
    </w:p>
    <w:p w14:paraId="642FADA1" w14:textId="77777777" w:rsidR="00C04174" w:rsidRPr="00C04174" w:rsidRDefault="00C04174" w:rsidP="00C04174">
      <w:r w:rsidRPr="00C04174">
        <w:t>Serbia occupies a central position in the Balkans, bordered by Central Europe, the Adriatic region, the Carpathians, and the Aegean basin. This geography facilitated both settlement continuity and external migrations.</w:t>
      </w:r>
    </w:p>
    <w:p w14:paraId="1424E3AA" w14:textId="77777777" w:rsidR="00C04174" w:rsidRPr="00C04174" w:rsidRDefault="00C04174" w:rsidP="00C04174">
      <w:r w:rsidRPr="00C04174">
        <w:t>Key historical phases relevant to Serbian genetic formation include:</w:t>
      </w:r>
    </w:p>
    <w:p w14:paraId="663EB2FE" w14:textId="77777777" w:rsidR="00C04174" w:rsidRPr="00C04174" w:rsidRDefault="00C04174" w:rsidP="00C04174">
      <w:pPr>
        <w:numPr>
          <w:ilvl w:val="0"/>
          <w:numId w:val="1"/>
        </w:numPr>
      </w:pPr>
      <w:r w:rsidRPr="00C04174">
        <w:lastRenderedPageBreak/>
        <w:t>Paleolithic and Mesolithic Balkan hunter-gatherers</w:t>
      </w:r>
    </w:p>
    <w:p w14:paraId="0E65A9FF" w14:textId="77777777" w:rsidR="00C04174" w:rsidRPr="00C04174" w:rsidRDefault="00C04174" w:rsidP="00C04174">
      <w:pPr>
        <w:numPr>
          <w:ilvl w:val="0"/>
          <w:numId w:val="1"/>
        </w:numPr>
      </w:pPr>
      <w:r w:rsidRPr="00C04174">
        <w:t>Neolithic agricultural expansions from Anatolia</w:t>
      </w:r>
    </w:p>
    <w:p w14:paraId="6D374871" w14:textId="77777777" w:rsidR="00C04174" w:rsidRPr="00C04174" w:rsidRDefault="00C04174" w:rsidP="00C04174">
      <w:pPr>
        <w:numPr>
          <w:ilvl w:val="0"/>
          <w:numId w:val="1"/>
        </w:numPr>
      </w:pPr>
      <w:r w:rsidRPr="00C04174">
        <w:t>Indo-European Bronze Age migrations</w:t>
      </w:r>
    </w:p>
    <w:p w14:paraId="7CE308B7" w14:textId="77777777" w:rsidR="00C04174" w:rsidRPr="00C04174" w:rsidRDefault="00C04174" w:rsidP="00C04174">
      <w:pPr>
        <w:numPr>
          <w:ilvl w:val="0"/>
          <w:numId w:val="1"/>
        </w:numPr>
      </w:pPr>
      <w:r w:rsidRPr="00C04174">
        <w:t>Roman and Byzantine population continuity</w:t>
      </w:r>
    </w:p>
    <w:p w14:paraId="2CD24373" w14:textId="77777777" w:rsidR="00C04174" w:rsidRPr="00C04174" w:rsidRDefault="00C04174" w:rsidP="00C04174">
      <w:pPr>
        <w:numPr>
          <w:ilvl w:val="0"/>
          <w:numId w:val="1"/>
        </w:numPr>
      </w:pPr>
      <w:r w:rsidRPr="00C04174">
        <w:t>Slavic migrations during the Early Middle Ages</w:t>
      </w:r>
    </w:p>
    <w:p w14:paraId="19726D12" w14:textId="77777777" w:rsidR="00C04174" w:rsidRPr="00C04174" w:rsidRDefault="00C04174" w:rsidP="00C04174">
      <w:pPr>
        <w:numPr>
          <w:ilvl w:val="0"/>
          <w:numId w:val="1"/>
        </w:numPr>
      </w:pPr>
      <w:r w:rsidRPr="00C04174">
        <w:t>Medieval and Ottoman-era population movements</w:t>
      </w:r>
    </w:p>
    <w:p w14:paraId="55CEFA4B" w14:textId="77777777" w:rsidR="00C04174" w:rsidRPr="00C04174" w:rsidRDefault="00C04174" w:rsidP="00C04174">
      <w:r w:rsidRPr="00C04174">
        <w:t>Each of these phases left genetic traces that are detectable in present-day Serbian genomes.</w:t>
      </w:r>
    </w:p>
    <w:p w14:paraId="0064F647" w14:textId="77777777" w:rsidR="00C04174" w:rsidRPr="00C04174" w:rsidRDefault="00C04174" w:rsidP="00C04174">
      <w:r w:rsidRPr="00C04174">
        <w:pict w14:anchorId="2824193A">
          <v:rect id="_x0000_i1087" style="width:0;height:1.5pt" o:hralign="center" o:hrstd="t" o:hr="t" fillcolor="#a0a0a0" stroked="f"/>
        </w:pict>
      </w:r>
    </w:p>
    <w:p w14:paraId="3C48ABE7" w14:textId="77777777" w:rsidR="00C04174" w:rsidRPr="00C04174" w:rsidRDefault="00C04174" w:rsidP="00C04174">
      <w:pPr>
        <w:rPr>
          <w:b/>
          <w:bCs/>
        </w:rPr>
      </w:pPr>
      <w:r w:rsidRPr="00C04174">
        <w:rPr>
          <w:b/>
          <w:bCs/>
        </w:rPr>
        <w:t>3. Genetic Methodologies in Serbian Population Studies</w:t>
      </w:r>
    </w:p>
    <w:p w14:paraId="4AF799E8" w14:textId="77777777" w:rsidR="00C04174" w:rsidRPr="00C04174" w:rsidRDefault="00C04174" w:rsidP="00C04174">
      <w:pPr>
        <w:rPr>
          <w:b/>
          <w:bCs/>
        </w:rPr>
      </w:pPr>
      <w:r w:rsidRPr="00C04174">
        <w:rPr>
          <w:b/>
          <w:bCs/>
        </w:rPr>
        <w:t>3.1 Autosomal DNA Analysis</w:t>
      </w:r>
    </w:p>
    <w:p w14:paraId="17D82B1B" w14:textId="77777777" w:rsidR="00C04174" w:rsidRPr="00C04174" w:rsidRDefault="00C04174" w:rsidP="00C04174">
      <w:r w:rsidRPr="00C04174">
        <w:t>Autosomal DNA reflects ancestry from all ancestral lines and provides the most comprehensive view of population structure. Genome-wide SNP studies show that Serbs cluster closely with other South Slavs (Croats, Bosniaks, Montenegrins) and are intermediate between Eastern European Slavic populations and southern Balkan groups such as Greeks and Bulgarians (Lazaridis et al., 2014).</w:t>
      </w:r>
    </w:p>
    <w:p w14:paraId="5AFA6BC5" w14:textId="77777777" w:rsidR="00C04174" w:rsidRPr="00C04174" w:rsidRDefault="00C04174" w:rsidP="00C04174">
      <w:pPr>
        <w:rPr>
          <w:b/>
          <w:bCs/>
        </w:rPr>
      </w:pPr>
      <w:r w:rsidRPr="00C04174">
        <w:rPr>
          <w:b/>
          <w:bCs/>
        </w:rPr>
        <w:t>3.2 Y-Chromosome Analysis (Paternal Lineages)</w:t>
      </w:r>
    </w:p>
    <w:p w14:paraId="540550E9" w14:textId="77777777" w:rsidR="00C04174" w:rsidRPr="00C04174" w:rsidRDefault="00C04174" w:rsidP="00C04174">
      <w:r w:rsidRPr="00C04174">
        <w:t>Y-chromosome markers trace paternal ancestry and are particularly informative for studying migration events. The most frequent Y-chromosome haplogroups among Serbian males include:</w:t>
      </w:r>
    </w:p>
    <w:p w14:paraId="6AFDED82" w14:textId="77777777" w:rsidR="00C04174" w:rsidRPr="00C04174" w:rsidRDefault="00C04174" w:rsidP="00C04174">
      <w:pPr>
        <w:numPr>
          <w:ilvl w:val="0"/>
          <w:numId w:val="2"/>
        </w:numPr>
      </w:pPr>
      <w:r w:rsidRPr="00C04174">
        <w:rPr>
          <w:b/>
          <w:bCs/>
        </w:rPr>
        <w:t>I2a (I-CTS10228)</w:t>
      </w:r>
      <w:r w:rsidRPr="00C04174">
        <w:t xml:space="preserve"> – strongly associated with South Slavic populations</w:t>
      </w:r>
    </w:p>
    <w:p w14:paraId="2A8D7F87" w14:textId="77777777" w:rsidR="00C04174" w:rsidRPr="00C04174" w:rsidRDefault="00C04174" w:rsidP="00C04174">
      <w:pPr>
        <w:numPr>
          <w:ilvl w:val="0"/>
          <w:numId w:val="2"/>
        </w:numPr>
      </w:pPr>
      <w:r w:rsidRPr="00C04174">
        <w:rPr>
          <w:b/>
          <w:bCs/>
        </w:rPr>
        <w:t>R1a</w:t>
      </w:r>
      <w:r w:rsidRPr="00C04174">
        <w:t xml:space="preserve"> – linked to Slavic and Eastern European expansions</w:t>
      </w:r>
    </w:p>
    <w:p w14:paraId="116215B8" w14:textId="77777777" w:rsidR="00C04174" w:rsidRPr="00C04174" w:rsidRDefault="00C04174" w:rsidP="00C04174">
      <w:pPr>
        <w:numPr>
          <w:ilvl w:val="0"/>
          <w:numId w:val="2"/>
        </w:numPr>
      </w:pPr>
      <w:r w:rsidRPr="00C04174">
        <w:rPr>
          <w:b/>
          <w:bCs/>
        </w:rPr>
        <w:t>E1b1b</w:t>
      </w:r>
      <w:r w:rsidRPr="00C04174">
        <w:t xml:space="preserve"> – common in the Balkans and Mediterranean</w:t>
      </w:r>
    </w:p>
    <w:p w14:paraId="7AE7E5BE" w14:textId="77777777" w:rsidR="00C04174" w:rsidRPr="00C04174" w:rsidRDefault="00C04174" w:rsidP="00C04174">
      <w:pPr>
        <w:numPr>
          <w:ilvl w:val="0"/>
          <w:numId w:val="2"/>
        </w:numPr>
      </w:pPr>
      <w:r w:rsidRPr="00C04174">
        <w:rPr>
          <w:b/>
          <w:bCs/>
        </w:rPr>
        <w:t>R1b</w:t>
      </w:r>
      <w:r w:rsidRPr="00C04174">
        <w:t xml:space="preserve"> – reflecting Western European and Balkan ancestry</w:t>
      </w:r>
    </w:p>
    <w:p w14:paraId="2D65A92E" w14:textId="77777777" w:rsidR="00C04174" w:rsidRPr="00C04174" w:rsidRDefault="00C04174" w:rsidP="00C04174">
      <w:r w:rsidRPr="00C04174">
        <w:t>The high frequency of haplogroup I2a suggests significant continuity with pre-Slavic Balkan populations that were later Slavicized linguistically (</w:t>
      </w:r>
      <w:proofErr w:type="spellStart"/>
      <w:r w:rsidRPr="00C04174">
        <w:t>Peričić</w:t>
      </w:r>
      <w:proofErr w:type="spellEnd"/>
      <w:r w:rsidRPr="00C04174">
        <w:t xml:space="preserve"> et al., 2005).</w:t>
      </w:r>
    </w:p>
    <w:p w14:paraId="301806A1" w14:textId="77777777" w:rsidR="00C04174" w:rsidRPr="00C04174" w:rsidRDefault="00C04174" w:rsidP="00C04174">
      <w:pPr>
        <w:rPr>
          <w:b/>
          <w:bCs/>
        </w:rPr>
      </w:pPr>
      <w:r w:rsidRPr="00C04174">
        <w:rPr>
          <w:b/>
          <w:bCs/>
        </w:rPr>
        <w:t>3.3 Mitochondrial DNA (Maternal Lineages)</w:t>
      </w:r>
    </w:p>
    <w:p w14:paraId="24C31BD1" w14:textId="77777777" w:rsidR="00C04174" w:rsidRPr="00C04174" w:rsidRDefault="00C04174" w:rsidP="00C04174">
      <w:r w:rsidRPr="00C04174">
        <w:t>mtDNA studies indicate maternal continuity with ancient European populations. Common haplogroups include H, U, J, T, and K, which are widespread across Europe and trace back to Paleolithic and Neolithic populations (Richards et al., 2000).</w:t>
      </w:r>
    </w:p>
    <w:p w14:paraId="6C0EE5C8" w14:textId="77777777" w:rsidR="00C04174" w:rsidRPr="00C04174" w:rsidRDefault="00C04174" w:rsidP="00C04174">
      <w:r w:rsidRPr="00C04174">
        <w:lastRenderedPageBreak/>
        <w:pict w14:anchorId="0BE88EE7">
          <v:rect id="_x0000_i1088" style="width:0;height:1.5pt" o:hralign="center" o:hrstd="t" o:hr="t" fillcolor="#a0a0a0" stroked="f"/>
        </w:pict>
      </w:r>
    </w:p>
    <w:p w14:paraId="12922717" w14:textId="77777777" w:rsidR="00C04174" w:rsidRPr="00C04174" w:rsidRDefault="00C04174" w:rsidP="00C04174">
      <w:pPr>
        <w:rPr>
          <w:b/>
          <w:bCs/>
        </w:rPr>
      </w:pPr>
      <w:r w:rsidRPr="00C04174">
        <w:rPr>
          <w:b/>
          <w:bCs/>
        </w:rPr>
        <w:t>4. Pre-Slavic Genetic Substrate of the Balkans</w:t>
      </w:r>
    </w:p>
    <w:p w14:paraId="0BF25388" w14:textId="77777777" w:rsidR="00C04174" w:rsidRPr="00C04174" w:rsidRDefault="00C04174" w:rsidP="00C04174">
      <w:r w:rsidRPr="00C04174">
        <w:t>Ancient DNA studies show that the Balkans were continuously inhabited by hunter-gatherers and early farmers long before the arrival of Slavs. Neolithic farmers entering Europe from Anatolia mixed extensively with local hunter-gatherers, forming a genetic base that persists in modern Balkan populations, including Serbs (Lazaridis et al., 2016).</w:t>
      </w:r>
    </w:p>
    <w:p w14:paraId="6A7B4865" w14:textId="77777777" w:rsidR="00C04174" w:rsidRPr="00C04174" w:rsidRDefault="00C04174" w:rsidP="00C04174">
      <w:r w:rsidRPr="00C04174">
        <w:t>Later Bronze Age migrations introduced Steppe-related ancestry associated with Indo-European languages. This ancestry remains a core component of Serbian genomes.</w:t>
      </w:r>
    </w:p>
    <w:p w14:paraId="1695292E" w14:textId="77777777" w:rsidR="00C04174" w:rsidRPr="00C04174" w:rsidRDefault="00C04174" w:rsidP="00C04174">
      <w:r w:rsidRPr="00C04174">
        <w:pict w14:anchorId="73BEFCAC">
          <v:rect id="_x0000_i1089" style="width:0;height:1.5pt" o:hralign="center" o:hrstd="t" o:hr="t" fillcolor="#a0a0a0" stroked="f"/>
        </w:pict>
      </w:r>
    </w:p>
    <w:p w14:paraId="73597F0F" w14:textId="77777777" w:rsidR="00C04174" w:rsidRPr="00C04174" w:rsidRDefault="00C04174" w:rsidP="00C04174">
      <w:pPr>
        <w:rPr>
          <w:b/>
          <w:bCs/>
        </w:rPr>
      </w:pPr>
      <w:r w:rsidRPr="00C04174">
        <w:rPr>
          <w:b/>
          <w:bCs/>
        </w:rPr>
        <w:t>5. Slavic Migrations and Genetic Impact</w:t>
      </w:r>
    </w:p>
    <w:p w14:paraId="4B6C48E0" w14:textId="77777777" w:rsidR="00C04174" w:rsidRPr="00C04174" w:rsidRDefault="00C04174" w:rsidP="00C04174">
      <w:pPr>
        <w:rPr>
          <w:b/>
          <w:bCs/>
        </w:rPr>
      </w:pPr>
      <w:r w:rsidRPr="00C04174">
        <w:rPr>
          <w:b/>
          <w:bCs/>
        </w:rPr>
        <w:t>5.1 Historical Context of Slavic Expansion</w:t>
      </w:r>
    </w:p>
    <w:p w14:paraId="14349EE8" w14:textId="77777777" w:rsidR="00C04174" w:rsidRPr="00C04174" w:rsidRDefault="00C04174" w:rsidP="00C04174">
      <w:r w:rsidRPr="00C04174">
        <w:t>Slavic groups expanded into the Balkans during the Early Middle Ages, coinciding with the decline of Roman authority. While historically described as large migrations, genetic evidence suggests a more nuanced process involving both migration and assimilation.</w:t>
      </w:r>
    </w:p>
    <w:p w14:paraId="41C0E27A" w14:textId="77777777" w:rsidR="00C04174" w:rsidRPr="00C04174" w:rsidRDefault="00C04174" w:rsidP="00C04174">
      <w:pPr>
        <w:rPr>
          <w:b/>
          <w:bCs/>
        </w:rPr>
      </w:pPr>
      <w:r w:rsidRPr="00C04174">
        <w:rPr>
          <w:b/>
          <w:bCs/>
        </w:rPr>
        <w:t>5.2 Genetic Evidence of Slavic Ancestry</w:t>
      </w:r>
    </w:p>
    <w:p w14:paraId="1FBD4501" w14:textId="77777777" w:rsidR="00C04174" w:rsidRPr="00C04174" w:rsidRDefault="00C04174" w:rsidP="00C04174">
      <w:r w:rsidRPr="00C04174">
        <w:t>Slavic genetic influence is primarily reflected in the presence of haplogroup R1a and autosomal components shared with Eastern European populations. However, the predominance of haplogroup I2a indicates that many pre-Slavic Balkan males were incorporated into Slavic-speaking societies rather than replaced.</w:t>
      </w:r>
    </w:p>
    <w:p w14:paraId="3B0CF34E" w14:textId="77777777" w:rsidR="00C04174" w:rsidRPr="00C04174" w:rsidRDefault="00C04174" w:rsidP="00C04174">
      <w:r w:rsidRPr="00C04174">
        <w:t xml:space="preserve">This supports a model of </w:t>
      </w:r>
      <w:r w:rsidRPr="00C04174">
        <w:rPr>
          <w:b/>
          <w:bCs/>
        </w:rPr>
        <w:t>demic diffusion combined with cultural assimilation</w:t>
      </w:r>
      <w:r w:rsidRPr="00C04174">
        <w:t>, rather than wholesale population replacement.</w:t>
      </w:r>
    </w:p>
    <w:p w14:paraId="7ADEDD29" w14:textId="77777777" w:rsidR="00C04174" w:rsidRPr="00C04174" w:rsidRDefault="00C04174" w:rsidP="00C04174">
      <w:r w:rsidRPr="00C04174">
        <w:pict w14:anchorId="00F03AA4">
          <v:rect id="_x0000_i1090" style="width:0;height:1.5pt" o:hralign="center" o:hrstd="t" o:hr="t" fillcolor="#a0a0a0" stroked="f"/>
        </w:pict>
      </w:r>
    </w:p>
    <w:p w14:paraId="52D76854" w14:textId="77777777" w:rsidR="00C04174" w:rsidRPr="00C04174" w:rsidRDefault="00C04174" w:rsidP="00C04174">
      <w:pPr>
        <w:rPr>
          <w:b/>
          <w:bCs/>
        </w:rPr>
      </w:pPr>
      <w:r w:rsidRPr="00C04174">
        <w:rPr>
          <w:b/>
          <w:bCs/>
        </w:rPr>
        <w:t>6. Regional Admixture and Gene Flow</w:t>
      </w:r>
    </w:p>
    <w:p w14:paraId="2CCA30DD" w14:textId="77777777" w:rsidR="00C04174" w:rsidRPr="00C04174" w:rsidRDefault="00C04174" w:rsidP="00C04174">
      <w:pPr>
        <w:rPr>
          <w:b/>
          <w:bCs/>
        </w:rPr>
      </w:pPr>
      <w:r w:rsidRPr="00C04174">
        <w:rPr>
          <w:b/>
          <w:bCs/>
        </w:rPr>
        <w:t>6.1 Balkan and Mediterranean Influence</w:t>
      </w:r>
    </w:p>
    <w:p w14:paraId="63C159A9" w14:textId="77777777" w:rsidR="00C04174" w:rsidRPr="00C04174" w:rsidRDefault="00C04174" w:rsidP="00C04174">
      <w:r w:rsidRPr="00C04174">
        <w:t>Serbs share genetic affinity with other Balkan populations, including Greeks, Bulgarians, Romanians, and Albanians. This reflects long-term regional interaction and shared prehistoric ancestry.</w:t>
      </w:r>
    </w:p>
    <w:p w14:paraId="0B999E43" w14:textId="77777777" w:rsidR="00C04174" w:rsidRPr="00C04174" w:rsidRDefault="00C04174" w:rsidP="00C04174">
      <w:pPr>
        <w:rPr>
          <w:b/>
          <w:bCs/>
        </w:rPr>
      </w:pPr>
      <w:r w:rsidRPr="00C04174">
        <w:rPr>
          <w:b/>
          <w:bCs/>
        </w:rPr>
        <w:t>6.2 Central and Eastern European Connections</w:t>
      </w:r>
    </w:p>
    <w:p w14:paraId="1F59191A" w14:textId="77777777" w:rsidR="00C04174" w:rsidRPr="00C04174" w:rsidRDefault="00C04174" w:rsidP="00C04174">
      <w:r w:rsidRPr="00C04174">
        <w:t>Genetic links with Hungarians, Slovaks, and Poles are consistent with Slavic expansion routes and medieval population movements.</w:t>
      </w:r>
    </w:p>
    <w:p w14:paraId="3824CD18" w14:textId="77777777" w:rsidR="00C04174" w:rsidRPr="00C04174" w:rsidRDefault="00C04174" w:rsidP="00C04174">
      <w:pPr>
        <w:rPr>
          <w:b/>
          <w:bCs/>
        </w:rPr>
      </w:pPr>
      <w:r w:rsidRPr="00C04174">
        <w:rPr>
          <w:b/>
          <w:bCs/>
        </w:rPr>
        <w:lastRenderedPageBreak/>
        <w:t>6.3 Ottoman-Era Contributions</w:t>
      </w:r>
    </w:p>
    <w:p w14:paraId="76DCD29B" w14:textId="77777777" w:rsidR="00C04174" w:rsidRPr="00C04174" w:rsidRDefault="00C04174" w:rsidP="00C04174">
      <w:r w:rsidRPr="00C04174">
        <w:t>The Ottoman period introduced limited gene flow from Anatolia and the Near East, detectable at low levels in autosomal analyses.</w:t>
      </w:r>
    </w:p>
    <w:p w14:paraId="108869B1" w14:textId="77777777" w:rsidR="00C04174" w:rsidRPr="00C04174" w:rsidRDefault="00C04174" w:rsidP="00C04174">
      <w:r w:rsidRPr="00C04174">
        <w:pict w14:anchorId="1B064546">
          <v:rect id="_x0000_i1091" style="width:0;height:1.5pt" o:hralign="center" o:hrstd="t" o:hr="t" fillcolor="#a0a0a0" stroked="f"/>
        </w:pict>
      </w:r>
    </w:p>
    <w:p w14:paraId="5C4B55A2" w14:textId="77777777" w:rsidR="00C04174" w:rsidRPr="00C04174" w:rsidRDefault="00C04174" w:rsidP="00C04174">
      <w:pPr>
        <w:rPr>
          <w:b/>
          <w:bCs/>
        </w:rPr>
      </w:pPr>
      <w:r w:rsidRPr="00C04174">
        <w:rPr>
          <w:b/>
          <w:bCs/>
        </w:rPr>
        <w:t>7. Cultural Identity and Genetic Continuity</w:t>
      </w:r>
    </w:p>
    <w:p w14:paraId="512119BE" w14:textId="77777777" w:rsidR="00C04174" w:rsidRPr="00C04174" w:rsidRDefault="00C04174" w:rsidP="00C04174">
      <w:r w:rsidRPr="00C04174">
        <w:t xml:space="preserve">One of the most important insights from population genomics is the distinction between </w:t>
      </w:r>
      <w:r w:rsidRPr="00C04174">
        <w:rPr>
          <w:b/>
          <w:bCs/>
        </w:rPr>
        <w:t>genetic ancestry</w:t>
      </w:r>
      <w:r w:rsidRPr="00C04174">
        <w:t xml:space="preserve"> and </w:t>
      </w:r>
      <w:r w:rsidRPr="00C04174">
        <w:rPr>
          <w:b/>
          <w:bCs/>
        </w:rPr>
        <w:t>cultural identity</w:t>
      </w:r>
      <w:r w:rsidRPr="00C04174">
        <w:t>. While Serbs are linguistically and culturally Slavic, their genetic makeup reflects deep Balkan roots combined with Slavic ancestry.</w:t>
      </w:r>
    </w:p>
    <w:p w14:paraId="7DE56B75" w14:textId="77777777" w:rsidR="00C04174" w:rsidRPr="00C04174" w:rsidRDefault="00C04174" w:rsidP="00C04174">
      <w:r w:rsidRPr="00C04174">
        <w:t>This pattern parallels other regions where language spread occurred through elite dominance and social integration rather than mass migration.</w:t>
      </w:r>
    </w:p>
    <w:p w14:paraId="655854BF" w14:textId="77777777" w:rsidR="00C04174" w:rsidRPr="00C04174" w:rsidRDefault="00C04174" w:rsidP="00C04174">
      <w:r w:rsidRPr="00C04174">
        <w:pict w14:anchorId="5A9C61E6">
          <v:rect id="_x0000_i1092" style="width:0;height:1.5pt" o:hralign="center" o:hrstd="t" o:hr="t" fillcolor="#a0a0a0" stroked="f"/>
        </w:pict>
      </w:r>
    </w:p>
    <w:p w14:paraId="08B81D4C" w14:textId="77777777" w:rsidR="00C04174" w:rsidRPr="00C04174" w:rsidRDefault="00C04174" w:rsidP="00C04174">
      <w:pPr>
        <w:rPr>
          <w:b/>
          <w:bCs/>
        </w:rPr>
      </w:pPr>
      <w:r w:rsidRPr="00C04174">
        <w:rPr>
          <w:b/>
          <w:bCs/>
        </w:rPr>
        <w:t>8. Medical and Evolutionary Implications</w:t>
      </w:r>
    </w:p>
    <w:p w14:paraId="1A48B465" w14:textId="77777777" w:rsidR="00C04174" w:rsidRPr="00C04174" w:rsidRDefault="00C04174" w:rsidP="00C04174">
      <w:r w:rsidRPr="00C04174">
        <w:t>Understanding Serbian genetic origins has practical relevance for medical genetics, including disease risk assessment and population-specific genetic screening. The genetic diversity of Serbs reflects their position at a major European crossroads, contributing to both heterogeneity and shared regional health traits.</w:t>
      </w:r>
    </w:p>
    <w:p w14:paraId="723D3A9D" w14:textId="77777777" w:rsidR="00C04174" w:rsidRPr="00C04174" w:rsidRDefault="00C04174" w:rsidP="00C04174">
      <w:r w:rsidRPr="00C04174">
        <w:pict w14:anchorId="3C64A73C">
          <v:rect id="_x0000_i1093" style="width:0;height:1.5pt" o:hralign="center" o:hrstd="t" o:hr="t" fillcolor="#a0a0a0" stroked="f"/>
        </w:pict>
      </w:r>
    </w:p>
    <w:p w14:paraId="31FE9485" w14:textId="77777777" w:rsidR="00C04174" w:rsidRPr="00C04174" w:rsidRDefault="00C04174" w:rsidP="00C04174">
      <w:pPr>
        <w:rPr>
          <w:b/>
          <w:bCs/>
        </w:rPr>
      </w:pPr>
      <w:r w:rsidRPr="00C04174">
        <w:rPr>
          <w:b/>
          <w:bCs/>
        </w:rPr>
        <w:t>9. Conclusion</w:t>
      </w:r>
    </w:p>
    <w:p w14:paraId="0E9472FC" w14:textId="77777777" w:rsidR="00C04174" w:rsidRPr="00C04174" w:rsidRDefault="00C04174" w:rsidP="00C04174">
      <w:r w:rsidRPr="00C04174">
        <w:t>The genetic origins of the Serbian people are the result of a multilayered demographic history involving ancient Balkan continuity, Neolithic and Bronze Age migrations, Slavic expansion, and regional admixture. Modern Serbs are genetically closest to other South Slavic and Balkan populations, with measurable but not dominant Eastern European Slavic ancestry.</w:t>
      </w:r>
    </w:p>
    <w:p w14:paraId="700BD7A7" w14:textId="77777777" w:rsidR="00C04174" w:rsidRPr="00C04174" w:rsidRDefault="00C04174" w:rsidP="00C04174">
      <w:r w:rsidRPr="00C04174">
        <w:t xml:space="preserve">Overall, Serbian ethnogenesis reflects a process of </w:t>
      </w:r>
      <w:r w:rsidRPr="00C04174">
        <w:rPr>
          <w:b/>
          <w:bCs/>
        </w:rPr>
        <w:t>Slavic cultural and linguistic transformation superimposed upon an indigenous Balkan genetic foundation</w:t>
      </w:r>
      <w:r w:rsidRPr="00C04174">
        <w:t>. Ongoing ancient DNA research will continue to refine our understanding of this complex population history.</w:t>
      </w:r>
    </w:p>
    <w:p w14:paraId="115D2505" w14:textId="77777777" w:rsidR="00C04174" w:rsidRPr="00C04174" w:rsidRDefault="00C04174" w:rsidP="00C04174">
      <w:r w:rsidRPr="00C04174">
        <w:pict w14:anchorId="7C706F87">
          <v:rect id="_x0000_i1094" style="width:0;height:1.5pt" o:hralign="center" o:hrstd="t" o:hr="t" fillcolor="#a0a0a0" stroked="f"/>
        </w:pict>
      </w:r>
    </w:p>
    <w:p w14:paraId="3D61F454" w14:textId="77777777" w:rsidR="00C04174" w:rsidRPr="00C04174" w:rsidRDefault="00C04174" w:rsidP="00C04174">
      <w:pPr>
        <w:rPr>
          <w:b/>
          <w:bCs/>
        </w:rPr>
      </w:pPr>
      <w:r w:rsidRPr="00C04174">
        <w:rPr>
          <w:b/>
          <w:bCs/>
        </w:rPr>
        <w:t>References</w:t>
      </w:r>
    </w:p>
    <w:p w14:paraId="71E7073D" w14:textId="77777777" w:rsidR="00C04174" w:rsidRPr="00C04174" w:rsidRDefault="00C04174" w:rsidP="00C04174">
      <w:r w:rsidRPr="00C04174">
        <w:t xml:space="preserve">Lazaridis, I. et al. (2014). Ancient human genomes suggest three ancestral populations for present-day Europeans. </w:t>
      </w:r>
      <w:r w:rsidRPr="00C04174">
        <w:rPr>
          <w:i/>
          <w:iCs/>
        </w:rPr>
        <w:t>Nature</w:t>
      </w:r>
      <w:r w:rsidRPr="00C04174">
        <w:t>, 513, 409–413.</w:t>
      </w:r>
      <w:r w:rsidRPr="00C04174">
        <w:br/>
        <w:t xml:space="preserve">Lazaridis, I. et al. (2016). Genomic insights into the origin of farming in the ancient Near East. </w:t>
      </w:r>
      <w:r w:rsidRPr="00C04174">
        <w:rPr>
          <w:i/>
          <w:iCs/>
        </w:rPr>
        <w:t>Nature</w:t>
      </w:r>
      <w:r w:rsidRPr="00C04174">
        <w:t>, 536, 419–424.</w:t>
      </w:r>
      <w:r w:rsidRPr="00C04174">
        <w:br/>
      </w:r>
      <w:proofErr w:type="spellStart"/>
      <w:r w:rsidRPr="00C04174">
        <w:lastRenderedPageBreak/>
        <w:t>Peričić</w:t>
      </w:r>
      <w:proofErr w:type="spellEnd"/>
      <w:r w:rsidRPr="00C04174">
        <w:t xml:space="preserve">, M. et al. (2005). High-resolution phylogenetic analysis of Southeastern Europe Y-chromosomes. </w:t>
      </w:r>
      <w:r w:rsidRPr="00C04174">
        <w:rPr>
          <w:i/>
          <w:iCs/>
        </w:rPr>
        <w:t>American Journal of Human Genetics</w:t>
      </w:r>
      <w:r w:rsidRPr="00C04174">
        <w:t>, 77(5), 814–826.</w:t>
      </w:r>
      <w:r w:rsidRPr="00C04174">
        <w:br/>
        <w:t xml:space="preserve">Richards, M. et al. (2000). Tracing European founder lineages in the Near Eastern mtDNA pool. </w:t>
      </w:r>
      <w:r w:rsidRPr="00C04174">
        <w:rPr>
          <w:i/>
          <w:iCs/>
        </w:rPr>
        <w:t>American Journal of Human Genetics</w:t>
      </w:r>
      <w:r w:rsidRPr="00C04174">
        <w:t>, 67(5), 1251–1276.</w:t>
      </w:r>
      <w:r w:rsidRPr="00C04174">
        <w:br/>
        <w:t xml:space="preserve">Hellenthal, G. et al. (2014). A genetic atlas of human admixture history. </w:t>
      </w:r>
      <w:r w:rsidRPr="00C04174">
        <w:rPr>
          <w:i/>
          <w:iCs/>
        </w:rPr>
        <w:t>Science</w:t>
      </w:r>
      <w:r w:rsidRPr="00C04174">
        <w:t>, 343(6172).</w:t>
      </w:r>
      <w:r w:rsidRPr="00C04174">
        <w:br/>
        <w:t xml:space="preserve">Battaglia, V. et al. (2009). Y-chromosomal evidence of the cultural diffusion of agriculture in Southeast Europe. </w:t>
      </w:r>
      <w:r w:rsidRPr="00C04174">
        <w:rPr>
          <w:i/>
          <w:iCs/>
        </w:rPr>
        <w:t>European Journal of Human Genetics</w:t>
      </w:r>
      <w:r w:rsidRPr="00C04174">
        <w:t>, 17, 820–830.</w:t>
      </w:r>
    </w:p>
    <w:p w14:paraId="3AE1D7C4"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04F8"/>
    <w:multiLevelType w:val="multilevel"/>
    <w:tmpl w:val="A94E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36085C"/>
    <w:multiLevelType w:val="multilevel"/>
    <w:tmpl w:val="E750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5666284">
    <w:abstractNumId w:val="1"/>
  </w:num>
  <w:num w:numId="2" w16cid:durableId="61139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174"/>
    <w:rsid w:val="00481D61"/>
    <w:rsid w:val="00495889"/>
    <w:rsid w:val="007A0303"/>
    <w:rsid w:val="00C04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F49D"/>
  <w15:chartTrackingRefBased/>
  <w15:docId w15:val="{CF49BBB0-6C43-4712-90FD-E30417C2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41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41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1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41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41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41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1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1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1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1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41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41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41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41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41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1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1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174"/>
    <w:rPr>
      <w:rFonts w:eastAsiaTheme="majorEastAsia" w:cstheme="majorBidi"/>
      <w:color w:val="272727" w:themeColor="text1" w:themeTint="D8"/>
    </w:rPr>
  </w:style>
  <w:style w:type="paragraph" w:styleId="Title">
    <w:name w:val="Title"/>
    <w:basedOn w:val="Normal"/>
    <w:next w:val="Normal"/>
    <w:link w:val="TitleChar"/>
    <w:uiPriority w:val="10"/>
    <w:qFormat/>
    <w:rsid w:val="00C041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1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1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1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174"/>
    <w:pPr>
      <w:spacing w:before="160"/>
      <w:jc w:val="center"/>
    </w:pPr>
    <w:rPr>
      <w:i/>
      <w:iCs/>
      <w:color w:val="404040" w:themeColor="text1" w:themeTint="BF"/>
    </w:rPr>
  </w:style>
  <w:style w:type="character" w:customStyle="1" w:styleId="QuoteChar">
    <w:name w:val="Quote Char"/>
    <w:basedOn w:val="DefaultParagraphFont"/>
    <w:link w:val="Quote"/>
    <w:uiPriority w:val="29"/>
    <w:rsid w:val="00C04174"/>
    <w:rPr>
      <w:i/>
      <w:iCs/>
      <w:color w:val="404040" w:themeColor="text1" w:themeTint="BF"/>
    </w:rPr>
  </w:style>
  <w:style w:type="paragraph" w:styleId="ListParagraph">
    <w:name w:val="List Paragraph"/>
    <w:basedOn w:val="Normal"/>
    <w:uiPriority w:val="34"/>
    <w:qFormat/>
    <w:rsid w:val="00C04174"/>
    <w:pPr>
      <w:ind w:left="720"/>
      <w:contextualSpacing/>
    </w:pPr>
  </w:style>
  <w:style w:type="character" w:styleId="IntenseEmphasis">
    <w:name w:val="Intense Emphasis"/>
    <w:basedOn w:val="DefaultParagraphFont"/>
    <w:uiPriority w:val="21"/>
    <w:qFormat/>
    <w:rsid w:val="00C04174"/>
    <w:rPr>
      <w:i/>
      <w:iCs/>
      <w:color w:val="2F5496" w:themeColor="accent1" w:themeShade="BF"/>
    </w:rPr>
  </w:style>
  <w:style w:type="paragraph" w:styleId="IntenseQuote">
    <w:name w:val="Intense Quote"/>
    <w:basedOn w:val="Normal"/>
    <w:next w:val="Normal"/>
    <w:link w:val="IntenseQuoteChar"/>
    <w:uiPriority w:val="30"/>
    <w:qFormat/>
    <w:rsid w:val="00C041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4174"/>
    <w:rPr>
      <w:i/>
      <w:iCs/>
      <w:color w:val="2F5496" w:themeColor="accent1" w:themeShade="BF"/>
    </w:rPr>
  </w:style>
  <w:style w:type="character" w:styleId="IntenseReference">
    <w:name w:val="Intense Reference"/>
    <w:basedOn w:val="DefaultParagraphFont"/>
    <w:uiPriority w:val="32"/>
    <w:qFormat/>
    <w:rsid w:val="00C041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7160</Characters>
  <Application>Microsoft Office Word</Application>
  <DocSecurity>0</DocSecurity>
  <Lines>59</Lines>
  <Paragraphs>16</Paragraphs>
  <ScaleCrop>false</ScaleCrop>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1</cp:revision>
  <dcterms:created xsi:type="dcterms:W3CDTF">2026-01-25T06:38:00Z</dcterms:created>
  <dcterms:modified xsi:type="dcterms:W3CDTF">2026-01-25T06:38:00Z</dcterms:modified>
</cp:coreProperties>
</file>